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both"/>
        <w:textAlignment w:val="auto"/>
        <w:rPr>
          <w:rFonts w:hint="default" w:asciiTheme="majorEastAsia" w:hAnsiTheme="majorEastAsia" w:eastAsiaTheme="majorEastAsia" w:cstheme="majorEastAsia"/>
          <w:b/>
          <w:color w:val="000000"/>
          <w:sz w:val="32"/>
          <w:szCs w:val="32"/>
          <w:lang w:val="en-US" w:eastAsia="zh-CN"/>
        </w:rPr>
      </w:pPr>
      <w:r>
        <w:rPr>
          <w:rFonts w:hint="eastAsia" w:asciiTheme="majorEastAsia" w:hAnsiTheme="majorEastAsia" w:eastAsiaTheme="majorEastAsia" w:cstheme="majorEastAsia"/>
          <w:b/>
          <w:color w:val="000000"/>
          <w:sz w:val="32"/>
          <w:szCs w:val="32"/>
          <w:lang w:eastAsia="zh-CN"/>
        </w:rPr>
        <w:t>附件</w:t>
      </w:r>
      <w:r>
        <w:rPr>
          <w:rFonts w:hint="default" w:asciiTheme="majorEastAsia" w:hAnsiTheme="majorEastAsia" w:eastAsiaTheme="majorEastAsia" w:cstheme="majorEastAsia"/>
          <w:b/>
          <w:color w:val="000000"/>
          <w:sz w:val="32"/>
          <w:szCs w:val="32"/>
          <w:lang w:val="en-US" w:eastAsia="zh-CN"/>
        </w:rPr>
        <w:t>1</w:t>
      </w:r>
    </w:p>
    <w:p>
      <w:pPr>
        <w:spacing w:after="312" w:afterLines="100"/>
        <w:jc w:val="center"/>
        <w:rPr>
          <w:rFonts w:hint="eastAsia" w:asciiTheme="majorEastAsia" w:hAnsiTheme="majorEastAsia" w:eastAsiaTheme="majorEastAsia" w:cstheme="majorEastAsia"/>
          <w:b/>
          <w:color w:val="000000"/>
          <w:sz w:val="44"/>
          <w:szCs w:val="44"/>
        </w:rPr>
      </w:pPr>
      <w:r>
        <w:rPr>
          <w:rFonts w:hint="eastAsia" w:asciiTheme="majorEastAsia" w:hAnsiTheme="majorEastAsia" w:eastAsiaTheme="majorEastAsia" w:cstheme="majorEastAsia"/>
          <w:b/>
          <w:color w:val="000000"/>
          <w:sz w:val="44"/>
          <w:szCs w:val="44"/>
        </w:rPr>
        <w:t>20</w:t>
      </w:r>
      <w:r>
        <w:rPr>
          <w:rFonts w:hint="eastAsia" w:asciiTheme="majorEastAsia" w:hAnsiTheme="majorEastAsia" w:eastAsiaTheme="majorEastAsia" w:cstheme="majorEastAsia"/>
          <w:b/>
          <w:color w:val="000000"/>
          <w:sz w:val="44"/>
          <w:szCs w:val="44"/>
          <w:lang w:val="en-US" w:eastAsia="zh-CN"/>
        </w:rPr>
        <w:t>23</w:t>
      </w:r>
      <w:r>
        <w:rPr>
          <w:rFonts w:hint="eastAsia" w:asciiTheme="majorEastAsia" w:hAnsiTheme="majorEastAsia" w:eastAsiaTheme="majorEastAsia" w:cstheme="majorEastAsia"/>
          <w:b/>
          <w:color w:val="000000"/>
          <w:sz w:val="44"/>
          <w:szCs w:val="44"/>
        </w:rPr>
        <w:t>年</w:t>
      </w:r>
      <w:r>
        <w:rPr>
          <w:rFonts w:hint="eastAsia" w:asciiTheme="majorEastAsia" w:hAnsiTheme="majorEastAsia" w:eastAsiaTheme="majorEastAsia" w:cstheme="majorEastAsia"/>
          <w:b/>
          <w:color w:val="000000"/>
          <w:sz w:val="44"/>
          <w:szCs w:val="44"/>
          <w:lang w:eastAsia="zh-CN"/>
        </w:rPr>
        <w:t>陕西省学位与</w:t>
      </w:r>
      <w:r>
        <w:rPr>
          <w:rFonts w:hint="eastAsia" w:asciiTheme="majorEastAsia" w:hAnsiTheme="majorEastAsia" w:eastAsiaTheme="majorEastAsia" w:cstheme="majorEastAsia"/>
          <w:b/>
          <w:color w:val="000000"/>
          <w:sz w:val="44"/>
          <w:szCs w:val="44"/>
        </w:rPr>
        <w:t>研究生教育研究项目</w:t>
      </w:r>
      <w:r>
        <w:rPr>
          <w:rFonts w:hint="eastAsia" w:asciiTheme="majorEastAsia" w:hAnsiTheme="majorEastAsia" w:eastAsiaTheme="majorEastAsia" w:cstheme="majorEastAsia"/>
          <w:b/>
          <w:color w:val="000000"/>
          <w:sz w:val="44"/>
          <w:szCs w:val="44"/>
          <w:lang w:eastAsia="zh-CN"/>
        </w:rPr>
        <w:t>立项</w:t>
      </w:r>
      <w:r>
        <w:rPr>
          <w:rFonts w:hint="eastAsia" w:asciiTheme="majorEastAsia" w:hAnsiTheme="majorEastAsia" w:eastAsiaTheme="majorEastAsia" w:cstheme="majorEastAsia"/>
          <w:b/>
          <w:color w:val="000000"/>
          <w:sz w:val="44"/>
          <w:szCs w:val="44"/>
        </w:rPr>
        <w:t>指南</w:t>
      </w:r>
    </w:p>
    <w:p>
      <w:pPr>
        <w:pStyle w:val="10"/>
        <w:keepNext w:val="0"/>
        <w:keepLines w:val="0"/>
        <w:pageBreakBefore w:val="0"/>
        <w:widowControl/>
        <w:numPr>
          <w:ilvl w:val="0"/>
          <w:numId w:val="1"/>
        </w:numPr>
        <w:kinsoku/>
        <w:wordWrap/>
        <w:overflowPunct/>
        <w:topLinePunct w:val="0"/>
        <w:autoSpaceDE/>
        <w:autoSpaceDN/>
        <w:bidi w:val="0"/>
        <w:adjustRightInd/>
        <w:snapToGrid/>
        <w:spacing w:line="480" w:lineRule="exact"/>
        <w:ind w:left="1063" w:leftChars="200" w:hanging="643" w:hanging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研究生教育基本理论研究</w:t>
      </w:r>
    </w:p>
    <w:p>
      <w:pPr>
        <w:pStyle w:val="10"/>
        <w:keepNext w:val="0"/>
        <w:keepLines w:val="0"/>
        <w:pageBreakBefore w:val="0"/>
        <w:widowControl/>
        <w:numPr>
          <w:ilvl w:val="0"/>
          <w:numId w:val="0"/>
        </w:numPr>
        <w:kinsoku/>
        <w:wordWrap/>
        <w:overflowPunct/>
        <w:topLinePunct w:val="0"/>
        <w:autoSpaceDE/>
        <w:autoSpaceDN/>
        <w:bidi w:val="0"/>
        <w:adjustRightInd/>
        <w:snapToGrid/>
        <w:spacing w:line="480" w:lineRule="exact"/>
        <w:ind w:left="315" w:leftChars="150" w:firstLine="320" w:firstLineChars="1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1.1研究生教育学学科建设研究</w:t>
      </w:r>
    </w:p>
    <w:p>
      <w:pPr>
        <w:pStyle w:val="10"/>
        <w:keepNext w:val="0"/>
        <w:keepLines w:val="0"/>
        <w:pageBreakBefore w:val="0"/>
        <w:widowControl/>
        <w:numPr>
          <w:ilvl w:val="0"/>
          <w:numId w:val="0"/>
        </w:numPr>
        <w:kinsoku/>
        <w:wordWrap/>
        <w:overflowPunct/>
        <w:topLinePunct w:val="0"/>
        <w:autoSpaceDE/>
        <w:autoSpaceDN/>
        <w:bidi w:val="0"/>
        <w:adjustRightInd/>
        <w:snapToGrid/>
        <w:spacing w:line="480" w:lineRule="exact"/>
        <w:ind w:left="315" w:leftChars="150" w:firstLine="320" w:firstLineChars="1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1.2研究生教育学核心问题研究</w:t>
      </w:r>
    </w:p>
    <w:p>
      <w:pPr>
        <w:pStyle w:val="10"/>
        <w:keepNext w:val="0"/>
        <w:keepLines w:val="0"/>
        <w:pageBreakBefore w:val="0"/>
        <w:widowControl/>
        <w:numPr>
          <w:ilvl w:val="0"/>
          <w:numId w:val="0"/>
        </w:numPr>
        <w:kinsoku/>
        <w:wordWrap/>
        <w:overflowPunct/>
        <w:topLinePunct w:val="0"/>
        <w:autoSpaceDE/>
        <w:autoSpaceDN/>
        <w:bidi w:val="0"/>
        <w:adjustRightInd/>
        <w:snapToGrid/>
        <w:spacing w:line="480" w:lineRule="exact"/>
        <w:ind w:left="315" w:leftChars="150" w:firstLine="320" w:firstLineChars="1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1.3研究生教育人才成长规律研究</w:t>
      </w:r>
    </w:p>
    <w:p>
      <w:pPr>
        <w:pStyle w:val="10"/>
        <w:keepNext w:val="0"/>
        <w:keepLines w:val="0"/>
        <w:pageBreakBefore w:val="0"/>
        <w:widowControl/>
        <w:numPr>
          <w:ilvl w:val="0"/>
          <w:numId w:val="0"/>
        </w:numPr>
        <w:kinsoku/>
        <w:wordWrap/>
        <w:overflowPunct/>
        <w:topLinePunct w:val="0"/>
        <w:autoSpaceDE/>
        <w:autoSpaceDN/>
        <w:bidi w:val="0"/>
        <w:adjustRightInd/>
        <w:snapToGrid/>
        <w:spacing w:line="480" w:lineRule="exact"/>
        <w:ind w:left="315" w:leftChars="150" w:firstLine="320" w:firstLineChars="1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1.4研究生教育与社会发展研究</w:t>
      </w:r>
    </w:p>
    <w:p>
      <w:pPr>
        <w:pStyle w:val="10"/>
        <w:keepNext w:val="0"/>
        <w:keepLines w:val="0"/>
        <w:pageBreakBefore w:val="0"/>
        <w:widowControl/>
        <w:numPr>
          <w:ilvl w:val="0"/>
          <w:numId w:val="0"/>
        </w:numPr>
        <w:kinsoku/>
        <w:wordWrap/>
        <w:overflowPunct/>
        <w:topLinePunct w:val="0"/>
        <w:autoSpaceDE/>
        <w:autoSpaceDN/>
        <w:bidi w:val="0"/>
        <w:adjustRightInd/>
        <w:snapToGrid/>
        <w:spacing w:line="480" w:lineRule="exact"/>
        <w:ind w:left="315" w:leftChars="150" w:firstLine="320" w:firstLineChars="1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1.5区域研究生教育发展研究</w:t>
      </w:r>
    </w:p>
    <w:p>
      <w:pPr>
        <w:pStyle w:val="10"/>
        <w:keepNext w:val="0"/>
        <w:keepLines w:val="0"/>
        <w:pageBreakBefore w:val="0"/>
        <w:widowControl/>
        <w:numPr>
          <w:ilvl w:val="0"/>
          <w:numId w:val="0"/>
        </w:numPr>
        <w:kinsoku/>
        <w:wordWrap/>
        <w:overflowPunct/>
        <w:topLinePunct w:val="0"/>
        <w:autoSpaceDE/>
        <w:autoSpaceDN/>
        <w:bidi w:val="0"/>
        <w:adjustRightInd/>
        <w:snapToGrid/>
        <w:spacing w:line="480" w:lineRule="exact"/>
        <w:ind w:left="315" w:leftChars="150" w:firstLine="320" w:firstLineChars="1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color w:val="000000"/>
          <w:kern w:val="0"/>
          <w:sz w:val="32"/>
          <w:szCs w:val="32"/>
          <w:lang w:val="en-US" w:eastAsia="zh-CN" w:bidi="ar"/>
        </w:rPr>
        <w:t>1.6 研究</w:t>
      </w:r>
      <w:bookmarkStart w:id="0" w:name="_GoBack"/>
      <w:bookmarkEnd w:id="0"/>
      <w:r>
        <w:rPr>
          <w:rFonts w:hint="eastAsia" w:ascii="仿宋" w:hAnsi="仿宋" w:eastAsia="仿宋" w:cs="仿宋"/>
          <w:color w:val="000000"/>
          <w:kern w:val="0"/>
          <w:sz w:val="32"/>
          <w:szCs w:val="32"/>
          <w:lang w:val="en-US" w:eastAsia="zh-CN" w:bidi="ar"/>
        </w:rPr>
        <w:t>生培养单位办学定位和办学特色研究</w:t>
      </w:r>
    </w:p>
    <w:p>
      <w:pPr>
        <w:pStyle w:val="10"/>
        <w:keepNext w:val="0"/>
        <w:keepLines w:val="0"/>
        <w:pageBreakBefore w:val="0"/>
        <w:widowControl/>
        <w:numPr>
          <w:ilvl w:val="0"/>
          <w:numId w:val="1"/>
        </w:numPr>
        <w:kinsoku/>
        <w:wordWrap/>
        <w:overflowPunct/>
        <w:topLinePunct w:val="0"/>
        <w:autoSpaceDE/>
        <w:autoSpaceDN/>
        <w:bidi w:val="0"/>
        <w:adjustRightInd/>
        <w:snapToGrid/>
        <w:spacing w:line="480" w:lineRule="exact"/>
        <w:ind w:left="1063" w:leftChars="200" w:hanging="643" w:hanging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研究生</w:t>
      </w:r>
      <w:r>
        <w:rPr>
          <w:rFonts w:hint="eastAsia" w:ascii="仿宋" w:hAnsi="仿宋" w:eastAsia="仿宋" w:cs="仿宋"/>
          <w:b/>
          <w:bCs/>
          <w:sz w:val="32"/>
          <w:szCs w:val="32"/>
          <w:lang w:eastAsia="zh-CN"/>
        </w:rPr>
        <w:t>培养</w:t>
      </w:r>
      <w:r>
        <w:rPr>
          <w:rFonts w:hint="eastAsia" w:ascii="仿宋" w:hAnsi="仿宋" w:eastAsia="仿宋" w:cs="仿宋"/>
          <w:b/>
          <w:bCs/>
          <w:sz w:val="32"/>
          <w:szCs w:val="32"/>
        </w:rPr>
        <w:t>研究</w:t>
      </w:r>
    </w:p>
    <w:p>
      <w:pPr>
        <w:pStyle w:val="10"/>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2.1高质量研究生课程及教学研究</w:t>
      </w:r>
    </w:p>
    <w:p>
      <w:pPr>
        <w:pStyle w:val="10"/>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2.2研究生课程知识供给研究</w:t>
      </w:r>
    </w:p>
    <w:p>
      <w:pPr>
        <w:pStyle w:val="10"/>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2.3</w:t>
      </w:r>
      <w:r>
        <w:rPr>
          <w:rFonts w:hint="eastAsia" w:ascii="仿宋" w:hAnsi="仿宋" w:eastAsia="仿宋" w:cs="仿宋"/>
          <w:sz w:val="32"/>
          <w:szCs w:val="32"/>
        </w:rPr>
        <w:t>博士研究生原始创新动力与机制研究</w:t>
      </w:r>
    </w:p>
    <w:p>
      <w:pPr>
        <w:pStyle w:val="10"/>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2.4</w:t>
      </w:r>
      <w:r>
        <w:rPr>
          <w:rFonts w:hint="eastAsia" w:ascii="仿宋" w:hAnsi="仿宋" w:eastAsia="仿宋" w:cs="仿宋"/>
          <w:sz w:val="32"/>
          <w:szCs w:val="32"/>
          <w:lang w:eastAsia="zh-CN"/>
        </w:rPr>
        <w:t>研究生分类培养机制研究</w:t>
      </w:r>
    </w:p>
    <w:p>
      <w:pPr>
        <w:pStyle w:val="10"/>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2.5</w:t>
      </w:r>
      <w:r>
        <w:rPr>
          <w:rFonts w:hint="eastAsia" w:ascii="仿宋" w:hAnsi="仿宋" w:eastAsia="仿宋" w:cs="仿宋"/>
          <w:color w:val="000000"/>
          <w:kern w:val="0"/>
          <w:sz w:val="32"/>
          <w:szCs w:val="32"/>
          <w:lang w:val="en-US" w:eastAsia="zh-CN" w:bidi="ar"/>
        </w:rPr>
        <w:t>论文质量及学位授权问题研究</w:t>
      </w:r>
    </w:p>
    <w:p>
      <w:pPr>
        <w:pStyle w:val="10"/>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2.6互联网+背景下的研究生教育质量保障机制研究</w:t>
      </w:r>
    </w:p>
    <w:p>
      <w:pPr>
        <w:pStyle w:val="10"/>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2.7研究生教育大数据研究</w:t>
      </w:r>
    </w:p>
    <w:p>
      <w:pPr>
        <w:pStyle w:val="10"/>
        <w:keepNext w:val="0"/>
        <w:keepLines w:val="0"/>
        <w:pageBreakBefore w:val="0"/>
        <w:widowControl/>
        <w:numPr>
          <w:ilvl w:val="0"/>
          <w:numId w:val="1"/>
        </w:numPr>
        <w:kinsoku/>
        <w:wordWrap/>
        <w:overflowPunct/>
        <w:topLinePunct w:val="0"/>
        <w:autoSpaceDE/>
        <w:autoSpaceDN/>
        <w:bidi w:val="0"/>
        <w:adjustRightInd/>
        <w:snapToGrid/>
        <w:spacing w:line="480" w:lineRule="exact"/>
        <w:ind w:left="840" w:leftChars="200" w:hanging="420" w:firstLineChars="0"/>
        <w:jc w:val="left"/>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服务国家、地区需求研究</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3.1 陕西研究生教育发展战略和竞争力研究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3.2 适应陕西区域经济建设和社会发展需要的研究生教育现代化治理体系研究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3.3 优化研究生教育结构，服务“中国制造 2025”“一带一路”、西部大开发等国家重大发展战略的探索与实践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3.4 陕西急需紧缺高层次创新人才培养路径与政策建议 </w:t>
      </w:r>
    </w:p>
    <w:p>
      <w:pPr>
        <w:pStyle w:val="10"/>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3.5研究生培养与科教融合、产教融合研究</w:t>
      </w:r>
    </w:p>
    <w:p>
      <w:pPr>
        <w:pStyle w:val="10"/>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3.6面向国家重大需求的博士生培养模式研究</w:t>
      </w:r>
    </w:p>
    <w:p>
      <w:pPr>
        <w:pStyle w:val="10"/>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3.7</w:t>
      </w:r>
      <w:r>
        <w:rPr>
          <w:rFonts w:hint="eastAsia" w:ascii="仿宋" w:hAnsi="仿宋" w:eastAsia="仿宋" w:cs="仿宋"/>
          <w:color w:val="000000"/>
          <w:kern w:val="0"/>
          <w:sz w:val="32"/>
          <w:szCs w:val="32"/>
          <w:lang w:val="en-US" w:eastAsia="zh-CN" w:bidi="ar"/>
        </w:rPr>
        <w:t>急需紧缺高层次创新人才培养路径与政策研究</w:t>
      </w:r>
    </w:p>
    <w:p>
      <w:pPr>
        <w:pStyle w:val="10"/>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3.8</w:t>
      </w:r>
      <w:r>
        <w:rPr>
          <w:rFonts w:hint="eastAsia" w:ascii="仿宋" w:hAnsi="仿宋" w:eastAsia="仿宋" w:cs="仿宋"/>
          <w:sz w:val="32"/>
          <w:szCs w:val="32"/>
          <w:lang w:val="en-US" w:eastAsia="zh-CN"/>
        </w:rPr>
        <w:t>企业参与工程类型研究生培养途径研究</w:t>
      </w:r>
    </w:p>
    <w:p>
      <w:pPr>
        <w:pStyle w:val="10"/>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sz w:val="32"/>
          <w:szCs w:val="32"/>
          <w:lang w:val="en-US" w:eastAsia="zh-CN"/>
        </w:rPr>
        <w:t>3.9卓越工程师高层次人才培养体系及机制</w:t>
      </w:r>
      <w:r>
        <w:rPr>
          <w:rFonts w:hint="eastAsia" w:ascii="仿宋" w:hAnsi="仿宋" w:eastAsia="仿宋" w:cs="仿宋"/>
          <w:color w:val="000000"/>
          <w:kern w:val="0"/>
          <w:sz w:val="32"/>
          <w:szCs w:val="32"/>
          <w:lang w:val="en-US" w:eastAsia="zh-CN" w:bidi="ar"/>
        </w:rPr>
        <w:t>研究</w:t>
      </w:r>
    </w:p>
    <w:p>
      <w:pPr>
        <w:pStyle w:val="10"/>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color w:val="000000"/>
          <w:kern w:val="0"/>
          <w:sz w:val="32"/>
          <w:szCs w:val="32"/>
          <w:lang w:val="en-US" w:eastAsia="zh-CN" w:bidi="ar"/>
        </w:rPr>
        <w:t>3.10工程教育与国际标准接轨研究</w:t>
      </w:r>
    </w:p>
    <w:p>
      <w:pPr>
        <w:pStyle w:val="10"/>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3.11“总师的养成”案例研究</w:t>
      </w:r>
    </w:p>
    <w:p>
      <w:pPr>
        <w:pStyle w:val="10"/>
        <w:keepNext w:val="0"/>
        <w:keepLines w:val="0"/>
        <w:pageBreakBefore w:val="0"/>
        <w:widowControl/>
        <w:numPr>
          <w:ilvl w:val="0"/>
          <w:numId w:val="1"/>
        </w:numPr>
        <w:kinsoku/>
        <w:wordWrap/>
        <w:overflowPunct/>
        <w:topLinePunct w:val="0"/>
        <w:autoSpaceDE/>
        <w:autoSpaceDN/>
        <w:bidi w:val="0"/>
        <w:adjustRightInd/>
        <w:snapToGrid/>
        <w:spacing w:line="480" w:lineRule="exact"/>
        <w:ind w:left="840" w:leftChars="200" w:hanging="420" w:firstLineChars="0"/>
        <w:jc w:val="left"/>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研究生导师研究</w:t>
      </w:r>
    </w:p>
    <w:p>
      <w:pPr>
        <w:pStyle w:val="10"/>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4.1</w:t>
      </w:r>
      <w:r>
        <w:rPr>
          <w:rFonts w:hint="eastAsia" w:ascii="仿宋" w:hAnsi="仿宋" w:eastAsia="仿宋" w:cs="仿宋"/>
          <w:sz w:val="32"/>
          <w:szCs w:val="32"/>
          <w:lang w:eastAsia="zh-CN"/>
        </w:rPr>
        <w:t>研究生</w:t>
      </w:r>
      <w:r>
        <w:rPr>
          <w:rFonts w:hint="eastAsia" w:ascii="仿宋" w:hAnsi="仿宋" w:eastAsia="仿宋" w:cs="仿宋"/>
          <w:sz w:val="32"/>
          <w:szCs w:val="32"/>
          <w:lang w:val="en-US" w:eastAsia="zh-CN"/>
        </w:rPr>
        <w:t>导师</w:t>
      </w:r>
      <w:r>
        <w:rPr>
          <w:rFonts w:hint="eastAsia" w:ascii="仿宋" w:hAnsi="仿宋" w:eastAsia="仿宋" w:cs="仿宋"/>
          <w:sz w:val="32"/>
          <w:szCs w:val="32"/>
          <w:lang w:eastAsia="zh-CN"/>
        </w:rPr>
        <w:t>立德树人研究</w:t>
      </w:r>
      <w:r>
        <w:rPr>
          <w:rFonts w:hint="eastAsia" w:ascii="仿宋" w:hAnsi="仿宋" w:eastAsia="仿宋" w:cs="仿宋"/>
          <w:sz w:val="32"/>
          <w:szCs w:val="32"/>
          <w:lang w:val="en-US" w:eastAsia="zh-CN"/>
        </w:rPr>
        <w:t xml:space="preserve"> </w:t>
      </w:r>
    </w:p>
    <w:p>
      <w:pPr>
        <w:pStyle w:val="10"/>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4.2研究生导师学术诚信研究</w:t>
      </w:r>
    </w:p>
    <w:p>
      <w:pPr>
        <w:pStyle w:val="10"/>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4.3</w:t>
      </w:r>
      <w:r>
        <w:rPr>
          <w:rFonts w:hint="eastAsia" w:ascii="仿宋" w:hAnsi="仿宋" w:eastAsia="仿宋" w:cs="仿宋"/>
          <w:sz w:val="32"/>
          <w:szCs w:val="32"/>
          <w:lang w:eastAsia="zh-CN"/>
        </w:rPr>
        <w:t>研究生导师指导能力研究</w:t>
      </w:r>
    </w:p>
    <w:p>
      <w:pPr>
        <w:pStyle w:val="10"/>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4.4研究生导学关系</w:t>
      </w:r>
      <w:r>
        <w:rPr>
          <w:rFonts w:hint="eastAsia" w:ascii="仿宋" w:hAnsi="仿宋" w:eastAsia="仿宋" w:cs="仿宋"/>
          <w:sz w:val="32"/>
          <w:szCs w:val="32"/>
        </w:rPr>
        <w:t>研究</w:t>
      </w:r>
    </w:p>
    <w:p>
      <w:pPr>
        <w:pStyle w:val="10"/>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608" w:firstLineChars="200"/>
        <w:jc w:val="left"/>
        <w:textAlignment w:val="auto"/>
        <w:rPr>
          <w:rFonts w:hint="eastAsia" w:ascii="仿宋" w:hAnsi="仿宋" w:eastAsia="仿宋" w:cs="仿宋"/>
          <w:w w:val="95"/>
          <w:sz w:val="32"/>
          <w:szCs w:val="32"/>
        </w:rPr>
      </w:pPr>
      <w:r>
        <w:rPr>
          <w:rFonts w:hint="eastAsia" w:ascii="仿宋" w:hAnsi="仿宋" w:eastAsia="仿宋" w:cs="仿宋"/>
          <w:w w:val="95"/>
          <w:sz w:val="32"/>
          <w:szCs w:val="32"/>
          <w:lang w:val="en-US" w:eastAsia="zh-CN"/>
        </w:rPr>
        <w:t>4.5研究生导师职责、评价及保障机制等研究</w:t>
      </w:r>
    </w:p>
    <w:p>
      <w:pPr>
        <w:pStyle w:val="10"/>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608" w:firstLineChars="200"/>
        <w:jc w:val="left"/>
        <w:textAlignment w:val="auto"/>
        <w:rPr>
          <w:rFonts w:hint="eastAsia" w:ascii="仿宋" w:hAnsi="仿宋" w:eastAsia="仿宋" w:cs="仿宋"/>
          <w:color w:val="000000"/>
          <w:w w:val="95"/>
          <w:sz w:val="32"/>
          <w:szCs w:val="32"/>
        </w:rPr>
      </w:pPr>
      <w:r>
        <w:rPr>
          <w:rFonts w:hint="eastAsia" w:ascii="仿宋" w:hAnsi="仿宋" w:eastAsia="仿宋" w:cs="仿宋"/>
          <w:color w:val="000000"/>
          <w:w w:val="95"/>
          <w:sz w:val="32"/>
          <w:szCs w:val="32"/>
          <w:lang w:val="en-US" w:eastAsia="zh-CN"/>
        </w:rPr>
        <w:t>4.6</w:t>
      </w:r>
      <w:r>
        <w:rPr>
          <w:rFonts w:hint="eastAsia" w:ascii="仿宋" w:hAnsi="仿宋" w:eastAsia="仿宋" w:cs="仿宋"/>
          <w:color w:val="000000"/>
          <w:w w:val="95"/>
          <w:sz w:val="32"/>
          <w:szCs w:val="32"/>
        </w:rPr>
        <w:t>研究生导师培养</w:t>
      </w:r>
      <w:r>
        <w:rPr>
          <w:rFonts w:hint="eastAsia" w:ascii="仿宋" w:hAnsi="仿宋" w:eastAsia="仿宋" w:cs="仿宋"/>
          <w:color w:val="000000"/>
          <w:w w:val="95"/>
          <w:sz w:val="32"/>
          <w:szCs w:val="32"/>
          <w:lang w:eastAsia="zh-CN"/>
        </w:rPr>
        <w:t>研究生</w:t>
      </w:r>
      <w:r>
        <w:rPr>
          <w:rFonts w:hint="eastAsia" w:ascii="仿宋" w:hAnsi="仿宋" w:eastAsia="仿宋" w:cs="仿宋"/>
          <w:color w:val="000000"/>
          <w:w w:val="95"/>
          <w:sz w:val="32"/>
          <w:szCs w:val="32"/>
        </w:rPr>
        <w:t>的责权机制研究</w:t>
      </w:r>
    </w:p>
    <w:p>
      <w:pPr>
        <w:pStyle w:val="10"/>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4.7</w:t>
      </w:r>
      <w:r>
        <w:rPr>
          <w:rFonts w:hint="eastAsia" w:ascii="仿宋" w:hAnsi="仿宋" w:eastAsia="仿宋" w:cs="仿宋"/>
          <w:sz w:val="32"/>
          <w:szCs w:val="32"/>
        </w:rPr>
        <w:t>研究生导师</w:t>
      </w:r>
      <w:r>
        <w:rPr>
          <w:rFonts w:hint="eastAsia" w:ascii="仿宋" w:hAnsi="仿宋" w:eastAsia="仿宋" w:cs="仿宋"/>
          <w:sz w:val="32"/>
          <w:szCs w:val="32"/>
          <w:lang w:eastAsia="zh-CN"/>
        </w:rPr>
        <w:t>国内外</w:t>
      </w:r>
      <w:r>
        <w:rPr>
          <w:rFonts w:hint="eastAsia" w:ascii="仿宋" w:hAnsi="仿宋" w:eastAsia="仿宋" w:cs="仿宋"/>
          <w:sz w:val="32"/>
          <w:szCs w:val="32"/>
        </w:rPr>
        <w:t>联</w:t>
      </w:r>
      <w:r>
        <w:rPr>
          <w:rFonts w:hint="eastAsia" w:ascii="仿宋" w:hAnsi="仿宋" w:eastAsia="仿宋" w:cs="仿宋"/>
          <w:sz w:val="32"/>
          <w:szCs w:val="32"/>
          <w:lang w:eastAsia="zh-CN"/>
        </w:rPr>
        <w:t>合</w:t>
      </w:r>
      <w:r>
        <w:rPr>
          <w:rFonts w:hint="eastAsia" w:ascii="仿宋" w:hAnsi="仿宋" w:eastAsia="仿宋" w:cs="仿宋"/>
          <w:sz w:val="32"/>
          <w:szCs w:val="32"/>
        </w:rPr>
        <w:t>培养模式</w:t>
      </w:r>
      <w:r>
        <w:rPr>
          <w:rFonts w:hint="eastAsia" w:ascii="仿宋" w:hAnsi="仿宋" w:eastAsia="仿宋" w:cs="仿宋"/>
          <w:sz w:val="32"/>
          <w:szCs w:val="32"/>
          <w:lang w:eastAsia="zh-CN"/>
        </w:rPr>
        <w:t>研究</w:t>
      </w:r>
    </w:p>
    <w:p>
      <w:pPr>
        <w:pStyle w:val="10"/>
        <w:keepNext w:val="0"/>
        <w:keepLines w:val="0"/>
        <w:pageBreakBefore w:val="0"/>
        <w:widowControl/>
        <w:numPr>
          <w:ilvl w:val="0"/>
          <w:numId w:val="1"/>
        </w:numPr>
        <w:kinsoku/>
        <w:wordWrap/>
        <w:overflowPunct/>
        <w:topLinePunct w:val="0"/>
        <w:autoSpaceDE/>
        <w:autoSpaceDN/>
        <w:bidi w:val="0"/>
        <w:adjustRightInd/>
        <w:snapToGrid/>
        <w:spacing w:line="480" w:lineRule="exact"/>
        <w:ind w:left="840" w:leftChars="200" w:hanging="420" w:firstLineChars="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研究生研究</w:t>
      </w:r>
    </w:p>
    <w:p>
      <w:pPr>
        <w:pStyle w:val="10"/>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5.1</w:t>
      </w:r>
      <w:r>
        <w:rPr>
          <w:rFonts w:hint="eastAsia" w:ascii="仿宋" w:hAnsi="仿宋" w:eastAsia="仿宋" w:cs="仿宋"/>
          <w:sz w:val="32"/>
          <w:szCs w:val="32"/>
        </w:rPr>
        <w:t>研究生学情调查研究</w:t>
      </w:r>
    </w:p>
    <w:p>
      <w:pPr>
        <w:pStyle w:val="10"/>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5.2研究生个体成长研究</w:t>
      </w:r>
    </w:p>
    <w:p>
      <w:pPr>
        <w:pStyle w:val="10"/>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5.3研究生质量评价研究</w:t>
      </w:r>
    </w:p>
    <w:p>
      <w:pPr>
        <w:pStyle w:val="10"/>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5.4研究生奖助体系研究</w:t>
      </w:r>
    </w:p>
    <w:p>
      <w:pPr>
        <w:pStyle w:val="10"/>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5.5</w:t>
      </w:r>
      <w:r>
        <w:rPr>
          <w:rFonts w:hint="eastAsia" w:ascii="仿宋" w:hAnsi="仿宋" w:eastAsia="仿宋" w:cs="仿宋"/>
          <w:sz w:val="32"/>
          <w:szCs w:val="32"/>
        </w:rPr>
        <w:t>研究生心理健康研究</w:t>
      </w:r>
    </w:p>
    <w:p>
      <w:pPr>
        <w:pStyle w:val="10"/>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5.6研究生高质量</w:t>
      </w:r>
      <w:r>
        <w:rPr>
          <w:rFonts w:hint="eastAsia" w:ascii="仿宋" w:hAnsi="仿宋" w:eastAsia="仿宋" w:cs="仿宋"/>
          <w:sz w:val="32"/>
          <w:szCs w:val="32"/>
        </w:rPr>
        <w:t>就业</w:t>
      </w:r>
      <w:r>
        <w:rPr>
          <w:rFonts w:hint="eastAsia" w:ascii="仿宋" w:hAnsi="仿宋" w:eastAsia="仿宋" w:cs="仿宋"/>
          <w:sz w:val="32"/>
          <w:szCs w:val="32"/>
          <w:lang w:eastAsia="zh-CN"/>
        </w:rPr>
        <w:t>及</w:t>
      </w:r>
      <w:r>
        <w:rPr>
          <w:rFonts w:hint="eastAsia" w:ascii="仿宋" w:hAnsi="仿宋" w:eastAsia="仿宋" w:cs="仿宋"/>
          <w:sz w:val="32"/>
          <w:szCs w:val="32"/>
          <w:lang w:val="en-US" w:eastAsia="zh-CN"/>
        </w:rPr>
        <w:t>职业发展</w:t>
      </w:r>
      <w:r>
        <w:rPr>
          <w:rFonts w:hint="eastAsia" w:ascii="仿宋" w:hAnsi="仿宋" w:eastAsia="仿宋" w:cs="仿宋"/>
          <w:sz w:val="32"/>
          <w:szCs w:val="32"/>
        </w:rPr>
        <w:t>研究</w:t>
      </w:r>
    </w:p>
    <w:p>
      <w:pPr>
        <w:pStyle w:val="10"/>
        <w:keepNext w:val="0"/>
        <w:keepLines w:val="0"/>
        <w:pageBreakBefore w:val="0"/>
        <w:widowControl/>
        <w:numPr>
          <w:ilvl w:val="0"/>
          <w:numId w:val="0"/>
        </w:numPr>
        <w:kinsoku/>
        <w:wordWrap/>
        <w:overflowPunct/>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6BDEA7"/>
    <w:multiLevelType w:val="singleLevel"/>
    <w:tmpl w:val="D46BDEA7"/>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U5ODhmYjAxZDU5OWM5N2ZjMWVkMDFhYWVjM2ZjOTkifQ=="/>
  </w:docVars>
  <w:rsids>
    <w:rsidRoot w:val="00365A55"/>
    <w:rsid w:val="00014C2E"/>
    <w:rsid w:val="00047C56"/>
    <w:rsid w:val="00095CCF"/>
    <w:rsid w:val="001003CC"/>
    <w:rsid w:val="001363AB"/>
    <w:rsid w:val="001521C6"/>
    <w:rsid w:val="00170242"/>
    <w:rsid w:val="00273444"/>
    <w:rsid w:val="00290BA4"/>
    <w:rsid w:val="002B2BF7"/>
    <w:rsid w:val="002F4BAA"/>
    <w:rsid w:val="00365A55"/>
    <w:rsid w:val="003D6C98"/>
    <w:rsid w:val="004154E5"/>
    <w:rsid w:val="00473041"/>
    <w:rsid w:val="004A5105"/>
    <w:rsid w:val="004E0C6A"/>
    <w:rsid w:val="005242D2"/>
    <w:rsid w:val="0059522B"/>
    <w:rsid w:val="005A1FEB"/>
    <w:rsid w:val="005F0632"/>
    <w:rsid w:val="00665E2C"/>
    <w:rsid w:val="006B7E1C"/>
    <w:rsid w:val="006D022E"/>
    <w:rsid w:val="007E40B6"/>
    <w:rsid w:val="007E61CE"/>
    <w:rsid w:val="00801FA6"/>
    <w:rsid w:val="0080614F"/>
    <w:rsid w:val="00836ADB"/>
    <w:rsid w:val="00896AEC"/>
    <w:rsid w:val="008A55C9"/>
    <w:rsid w:val="008B2620"/>
    <w:rsid w:val="009250DC"/>
    <w:rsid w:val="00931215"/>
    <w:rsid w:val="00AF63E2"/>
    <w:rsid w:val="00B64C95"/>
    <w:rsid w:val="00BA645F"/>
    <w:rsid w:val="00BB2DA3"/>
    <w:rsid w:val="00BD6F65"/>
    <w:rsid w:val="00C3668B"/>
    <w:rsid w:val="00C65823"/>
    <w:rsid w:val="00C732D9"/>
    <w:rsid w:val="00DB6A9E"/>
    <w:rsid w:val="00E35B68"/>
    <w:rsid w:val="00E37006"/>
    <w:rsid w:val="00E44DB8"/>
    <w:rsid w:val="00E96663"/>
    <w:rsid w:val="00EC1252"/>
    <w:rsid w:val="00EF5A78"/>
    <w:rsid w:val="00F00C3F"/>
    <w:rsid w:val="00F76293"/>
    <w:rsid w:val="00FB0EBA"/>
    <w:rsid w:val="00FB5397"/>
    <w:rsid w:val="03BF03DA"/>
    <w:rsid w:val="04480D7B"/>
    <w:rsid w:val="05DF0E23"/>
    <w:rsid w:val="07787516"/>
    <w:rsid w:val="088C4314"/>
    <w:rsid w:val="1035370A"/>
    <w:rsid w:val="155406A8"/>
    <w:rsid w:val="15CE5B15"/>
    <w:rsid w:val="163D53B4"/>
    <w:rsid w:val="17C92A5A"/>
    <w:rsid w:val="1815071A"/>
    <w:rsid w:val="19201704"/>
    <w:rsid w:val="1A280CFA"/>
    <w:rsid w:val="1B0D599C"/>
    <w:rsid w:val="1B6F7BF4"/>
    <w:rsid w:val="1E8516BA"/>
    <w:rsid w:val="21C9712F"/>
    <w:rsid w:val="22C162F8"/>
    <w:rsid w:val="2311332F"/>
    <w:rsid w:val="23CA0EB0"/>
    <w:rsid w:val="25075537"/>
    <w:rsid w:val="262E00CC"/>
    <w:rsid w:val="263D6105"/>
    <w:rsid w:val="268A4B98"/>
    <w:rsid w:val="26D448B7"/>
    <w:rsid w:val="28111173"/>
    <w:rsid w:val="28776EBF"/>
    <w:rsid w:val="2D170AA6"/>
    <w:rsid w:val="2D6972B4"/>
    <w:rsid w:val="2E3C4440"/>
    <w:rsid w:val="2EEF2BB2"/>
    <w:rsid w:val="2F06104C"/>
    <w:rsid w:val="302B0084"/>
    <w:rsid w:val="30B95677"/>
    <w:rsid w:val="3495005E"/>
    <w:rsid w:val="372D7E48"/>
    <w:rsid w:val="3893107C"/>
    <w:rsid w:val="39066E27"/>
    <w:rsid w:val="391A33B1"/>
    <w:rsid w:val="392A5B88"/>
    <w:rsid w:val="395B2CBF"/>
    <w:rsid w:val="3A770D59"/>
    <w:rsid w:val="3C475CFD"/>
    <w:rsid w:val="3C530636"/>
    <w:rsid w:val="3CE954CB"/>
    <w:rsid w:val="3D4D4303"/>
    <w:rsid w:val="3D6C7778"/>
    <w:rsid w:val="417E0699"/>
    <w:rsid w:val="42E2152F"/>
    <w:rsid w:val="438B390A"/>
    <w:rsid w:val="44DB33E5"/>
    <w:rsid w:val="46DA12B4"/>
    <w:rsid w:val="4D51223B"/>
    <w:rsid w:val="50A93834"/>
    <w:rsid w:val="5261282C"/>
    <w:rsid w:val="529E203F"/>
    <w:rsid w:val="53915FF7"/>
    <w:rsid w:val="54163828"/>
    <w:rsid w:val="54C2447E"/>
    <w:rsid w:val="56442031"/>
    <w:rsid w:val="574A0AA8"/>
    <w:rsid w:val="580178BD"/>
    <w:rsid w:val="5940164E"/>
    <w:rsid w:val="5D8436EC"/>
    <w:rsid w:val="5DA27368"/>
    <w:rsid w:val="5F5C573F"/>
    <w:rsid w:val="614E55E9"/>
    <w:rsid w:val="62E76073"/>
    <w:rsid w:val="64F739EB"/>
    <w:rsid w:val="655E242C"/>
    <w:rsid w:val="656C14DD"/>
    <w:rsid w:val="65FE4E80"/>
    <w:rsid w:val="663C040E"/>
    <w:rsid w:val="666B09B6"/>
    <w:rsid w:val="666F7ECB"/>
    <w:rsid w:val="67F8169D"/>
    <w:rsid w:val="698F2A20"/>
    <w:rsid w:val="69BF244C"/>
    <w:rsid w:val="6A7B104E"/>
    <w:rsid w:val="6C936966"/>
    <w:rsid w:val="70754D55"/>
    <w:rsid w:val="70D86E98"/>
    <w:rsid w:val="7227278E"/>
    <w:rsid w:val="72DF0952"/>
    <w:rsid w:val="77160CD5"/>
    <w:rsid w:val="77FE2406"/>
    <w:rsid w:val="79394CD3"/>
    <w:rsid w:val="795A5C73"/>
    <w:rsid w:val="799B11E0"/>
    <w:rsid w:val="7B96311D"/>
    <w:rsid w:val="7CAD7963"/>
    <w:rsid w:val="7E291F94"/>
    <w:rsid w:val="7F262C60"/>
    <w:rsid w:val="7F5E1A6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8"/>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9"/>
    <w:qFormat/>
    <w:uiPriority w:val="99"/>
    <w:pPr>
      <w:keepNext/>
      <w:keepLines/>
      <w:spacing w:before="260" w:after="260" w:line="416" w:lineRule="auto"/>
      <w:outlineLvl w:val="1"/>
    </w:pPr>
    <w:rPr>
      <w:rFonts w:ascii="Calibri Light" w:hAnsi="Calibri Light"/>
      <w:b/>
      <w:bCs/>
      <w:sz w:val="32"/>
      <w:szCs w:val="32"/>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1 Char"/>
    <w:link w:val="2"/>
    <w:qFormat/>
    <w:locked/>
    <w:uiPriority w:val="99"/>
    <w:rPr>
      <w:rFonts w:cs="Times New Roman"/>
      <w:b/>
      <w:bCs/>
      <w:kern w:val="44"/>
      <w:sz w:val="44"/>
      <w:szCs w:val="44"/>
    </w:rPr>
  </w:style>
  <w:style w:type="character" w:customStyle="1" w:styleId="9">
    <w:name w:val="标题 2 Char"/>
    <w:link w:val="3"/>
    <w:qFormat/>
    <w:locked/>
    <w:uiPriority w:val="99"/>
    <w:rPr>
      <w:rFonts w:ascii="Calibri Light" w:hAnsi="Calibri Light" w:eastAsia="宋体" w:cs="Times New Roman"/>
      <w:b/>
      <w:bCs/>
      <w:sz w:val="32"/>
      <w:szCs w:val="32"/>
    </w:rPr>
  </w:style>
  <w:style w:type="paragraph" w:styleId="10">
    <w:name w:val="List Paragraph"/>
    <w:basedOn w:val="1"/>
    <w:qFormat/>
    <w:uiPriority w:val="99"/>
    <w:pPr>
      <w:widowControl/>
      <w:spacing w:line="480" w:lineRule="exact"/>
      <w:ind w:left="840" w:firstLine="420" w:firstLineChars="200"/>
    </w:pPr>
    <w:rPr>
      <w:rFonts w:ascii="Times New Roman" w:hAnsi="Times New Roman"/>
      <w:sz w:val="28"/>
      <w:szCs w:val="24"/>
    </w:rPr>
  </w:style>
  <w:style w:type="character" w:customStyle="1" w:styleId="11">
    <w:name w:val="页眉 Char"/>
    <w:link w:val="5"/>
    <w:qFormat/>
    <w:uiPriority w:val="99"/>
    <w:rPr>
      <w:kern w:val="2"/>
      <w:sz w:val="18"/>
      <w:szCs w:val="18"/>
    </w:rPr>
  </w:style>
  <w:style w:type="character" w:customStyle="1" w:styleId="12">
    <w:name w:val="页脚 Char"/>
    <w:link w:val="4"/>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nwpu</Company>
  <Pages>4</Pages>
  <Words>2091</Words>
  <Characters>2103</Characters>
  <Lines>8</Lines>
  <Paragraphs>2</Paragraphs>
  <TotalTime>4</TotalTime>
  <ScaleCrop>false</ScaleCrop>
  <LinksUpToDate>false</LinksUpToDate>
  <CharactersWithSpaces>2169</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2015-10-12T07:44:00Z</dcterms:created>
  <dc:creator>lenovo</dc:creator>
  <cp:lastModifiedBy>肖敏</cp:lastModifiedBy>
  <cp:lastPrinted>2019-03-08T08:31:00Z</cp:lastPrinted>
  <dcterms:modified xsi:type="dcterms:W3CDTF">2023-04-07T10:16:08Z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ICV">
    <vt:lpwstr>0D54AC14DF804D7E869EEABA4C499F08</vt:lpwstr>
  </property>
</Properties>
</file>